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_GB2312"/>
          <w:b/>
          <w:bCs/>
          <w:sz w:val="44"/>
          <w:szCs w:val="44"/>
        </w:rPr>
      </w:pPr>
      <w:r>
        <w:rPr>
          <w:rFonts w:hint="eastAsia" w:ascii="仿宋_GB2312"/>
          <w:b/>
          <w:bCs/>
          <w:sz w:val="44"/>
          <w:szCs w:val="44"/>
          <w:lang w:val="en-US" w:eastAsia="zh-CN"/>
        </w:rPr>
        <w:t>2019</w:t>
      </w:r>
      <w:r>
        <w:rPr>
          <w:rFonts w:hint="eastAsia" w:ascii="仿宋_GB2312"/>
          <w:b/>
          <w:bCs/>
          <w:sz w:val="44"/>
          <w:szCs w:val="44"/>
        </w:rPr>
        <w:t>年度</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_GB2312"/>
          <w:b/>
          <w:bCs/>
          <w:sz w:val="44"/>
          <w:szCs w:val="44"/>
        </w:rPr>
      </w:pPr>
      <w:r>
        <w:rPr>
          <w:rFonts w:hint="eastAsia" w:ascii="仿宋_GB2312"/>
          <w:b/>
          <w:bCs/>
          <w:sz w:val="44"/>
          <w:szCs w:val="44"/>
          <w:lang w:eastAsia="zh-CN"/>
        </w:rPr>
        <w:t>市委宣传部文化体制改革</w:t>
      </w:r>
      <w:r>
        <w:rPr>
          <w:rFonts w:hint="eastAsia" w:ascii="仿宋_GB2312"/>
          <w:b/>
          <w:bCs/>
          <w:sz w:val="44"/>
          <w:szCs w:val="44"/>
        </w:rPr>
        <w:t>专项资金</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_GB2312"/>
          <w:b/>
          <w:bCs/>
          <w:sz w:val="44"/>
          <w:szCs w:val="44"/>
        </w:rPr>
      </w:pPr>
      <w:r>
        <w:rPr>
          <w:rFonts w:hint="eastAsia" w:ascii="仿宋_GB2312"/>
          <w:b/>
          <w:bCs/>
          <w:sz w:val="44"/>
          <w:szCs w:val="44"/>
        </w:rPr>
        <w:t>绩效评价报告</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_GB2312"/>
          <w:b/>
          <w:bCs/>
          <w:sz w:val="44"/>
          <w:szCs w:val="44"/>
        </w:rPr>
      </w:pPr>
    </w:p>
    <w:p>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firstLine="640" w:firstLineChars="200"/>
        <w:textAlignment w:val="auto"/>
        <w:rPr>
          <w:rFonts w:hint="eastAsia" w:ascii="黑体" w:eastAsia="黑体"/>
          <w:bCs/>
          <w:color w:val="000000"/>
          <w:sz w:val="32"/>
          <w:szCs w:val="32"/>
          <w:lang w:eastAsia="zh-CN"/>
        </w:rPr>
      </w:pPr>
      <w:r>
        <w:rPr>
          <w:rFonts w:hint="eastAsia" w:ascii="黑体" w:eastAsia="黑体"/>
          <w:bCs/>
          <w:color w:val="000000"/>
          <w:sz w:val="32"/>
          <w:szCs w:val="32"/>
        </w:rPr>
        <w:t>绩效目标</w:t>
      </w:r>
      <w:r>
        <w:rPr>
          <w:rFonts w:hint="eastAsia" w:ascii="黑体" w:eastAsia="黑体"/>
          <w:bCs/>
          <w:color w:val="000000"/>
          <w:sz w:val="32"/>
          <w:szCs w:val="32"/>
          <w:lang w:eastAsia="zh-CN"/>
        </w:rPr>
        <w:t>设置情况</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Cs/>
          <w:color w:val="000000"/>
          <w:sz w:val="32"/>
          <w:szCs w:val="32"/>
          <w:lang w:eastAsia="zh-CN"/>
        </w:rPr>
      </w:pPr>
      <w:r>
        <w:rPr>
          <w:rFonts w:hint="eastAsia" w:ascii="仿宋_GB2312" w:hAnsi="仿宋_GB2312" w:eastAsia="仿宋_GB2312" w:cs="仿宋_GB2312"/>
          <w:bCs/>
          <w:color w:val="000000"/>
          <w:sz w:val="32"/>
          <w:szCs w:val="32"/>
          <w:lang w:eastAsia="zh-CN"/>
        </w:rPr>
        <w:t>为进一步做好城市文明建设主题宣传，加大文明引导和舆论监督力度，切实发挥好主流媒体舆论引导作用，按照市委宣传部有关部署要求，市文明办和市广播电视台联合主办推出文明监督引导类融媒体谈话节目《市民圆桌会》。</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sz w:val="28"/>
          <w:szCs w:val="28"/>
        </w:rPr>
      </w:pPr>
      <w:r>
        <w:rPr>
          <w:rFonts w:hint="eastAsia" w:ascii="仿宋_GB2312" w:hAnsi="仿宋_GB2312" w:eastAsia="仿宋_GB2312" w:cs="仿宋_GB2312"/>
          <w:bCs/>
          <w:color w:val="000000"/>
          <w:sz w:val="32"/>
          <w:szCs w:val="32"/>
          <w:lang w:eastAsia="zh-CN"/>
        </w:rPr>
        <w:t>青岛市广播电视台申请市文化体制改革及媒体融合专项资金支持，于2019年9月提交项目任务书，预算金额每期节目5万元，全年实际制作播出期数以36期计，共计180万元。最终获得180万元的项目批复。</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黑体" w:eastAsia="黑体"/>
          <w:bCs/>
          <w:color w:val="000000"/>
          <w:sz w:val="32"/>
          <w:szCs w:val="32"/>
        </w:rPr>
      </w:pPr>
      <w:r>
        <w:rPr>
          <w:rFonts w:hint="eastAsia" w:ascii="黑体" w:eastAsia="黑体"/>
          <w:bCs/>
          <w:color w:val="000000"/>
          <w:sz w:val="32"/>
          <w:szCs w:val="32"/>
        </w:rPr>
        <w:t>二、绩效目标完成情况分析</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楷体" w:hAnsi="楷体" w:eastAsia="楷体" w:cs="楷体"/>
          <w:bCs/>
          <w:color w:val="000000"/>
          <w:sz w:val="32"/>
          <w:szCs w:val="32"/>
        </w:rPr>
      </w:pPr>
      <w:r>
        <w:rPr>
          <w:rFonts w:hint="eastAsia" w:ascii="楷体" w:hAnsi="楷体" w:eastAsia="楷体" w:cs="楷体"/>
          <w:bCs/>
          <w:color w:val="000000"/>
          <w:sz w:val="32"/>
          <w:szCs w:val="32"/>
        </w:rPr>
        <w:t>（一）资金投入情况分析</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20" w:lineRule="exact"/>
        <w:ind w:left="420" w:leftChars="0"/>
        <w:textAlignment w:val="auto"/>
        <w:rPr>
          <w:rFonts w:hint="eastAsia" w:ascii="仿宋_GB2312" w:hAnsi="仿宋_GB2312" w:eastAsia="仿宋_GB2312" w:cs="仿宋_GB2312"/>
          <w:bCs/>
          <w:color w:val="000000"/>
          <w:kern w:val="2"/>
          <w:sz w:val="32"/>
          <w:szCs w:val="32"/>
          <w:lang w:val="en-US" w:eastAsia="zh-CN" w:bidi="ar-SA"/>
        </w:rPr>
      </w:pPr>
      <w:r>
        <w:rPr>
          <w:rFonts w:hint="eastAsia" w:ascii="仿宋_GB2312" w:hAnsi="仿宋_GB2312" w:eastAsia="仿宋_GB2312" w:cs="仿宋_GB2312"/>
          <w:bCs/>
          <w:color w:val="000000"/>
          <w:kern w:val="2"/>
          <w:sz w:val="32"/>
          <w:szCs w:val="32"/>
          <w:lang w:val="en-US" w:eastAsia="zh-CN" w:bidi="ar-SA"/>
        </w:rPr>
        <w:t>1、</w:t>
      </w:r>
      <w:r>
        <w:rPr>
          <w:rFonts w:hint="eastAsia" w:ascii="仿宋_GB2312" w:hAnsi="仿宋_GB2312" w:eastAsia="仿宋_GB2312" w:cs="仿宋_GB2312"/>
          <w:bCs/>
          <w:color w:val="000000"/>
          <w:sz w:val="32"/>
          <w:szCs w:val="32"/>
        </w:rPr>
        <w:t>资金到位</w:t>
      </w:r>
      <w:r>
        <w:rPr>
          <w:rFonts w:hint="eastAsia" w:ascii="仿宋_GB2312" w:hAnsi="仿宋_GB2312" w:eastAsia="仿宋_GB2312" w:cs="仿宋_GB2312"/>
          <w:bCs/>
          <w:color w:val="000000"/>
          <w:sz w:val="32"/>
          <w:szCs w:val="32"/>
          <w:lang w:eastAsia="zh-CN"/>
        </w:rPr>
        <w:t>和</w:t>
      </w:r>
      <w:r>
        <w:rPr>
          <w:rFonts w:hint="eastAsia" w:ascii="仿宋_GB2312" w:hAnsi="仿宋_GB2312" w:eastAsia="仿宋_GB2312" w:cs="仿宋_GB2312"/>
          <w:bCs/>
          <w:color w:val="000000"/>
          <w:sz w:val="32"/>
          <w:szCs w:val="32"/>
        </w:rPr>
        <w:t>执行情况</w:t>
      </w:r>
      <w:r>
        <w:rPr>
          <w:rFonts w:hint="eastAsia" w:ascii="仿宋_GB2312" w:hAnsi="仿宋_GB2312" w:eastAsia="仿宋_GB2312" w:cs="仿宋_GB2312"/>
          <w:bCs/>
          <w:color w:val="000000"/>
          <w:sz w:val="32"/>
          <w:szCs w:val="32"/>
          <w:lang w:eastAsia="zh-CN"/>
        </w:rPr>
        <w:t>。</w:t>
      </w:r>
    </w:p>
    <w:p>
      <w:pPr>
        <w:pStyle w:val="6"/>
        <w:keepNext w:val="0"/>
        <w:keepLines w:val="0"/>
        <w:pageBreakBefore w:val="0"/>
        <w:widowControl w:val="0"/>
        <w:kinsoku/>
        <w:wordWrap/>
        <w:overflowPunct/>
        <w:topLinePunct w:val="0"/>
        <w:autoSpaceDE/>
        <w:autoSpaceDN/>
        <w:bidi w:val="0"/>
        <w:adjustRightInd/>
        <w:snapToGrid/>
        <w:spacing w:line="520" w:lineRule="exact"/>
        <w:ind w:left="0" w:leftChars="0" w:firstLine="640" w:firstLineChars="200"/>
        <w:textAlignment w:val="auto"/>
        <w:rPr>
          <w:rFonts w:hint="eastAsia" w:ascii="仿宋_GB2312" w:hAnsi="仿宋_GB2312" w:eastAsia="仿宋_GB2312" w:cs="仿宋_GB2312"/>
          <w:bCs/>
          <w:color w:val="000000"/>
          <w:sz w:val="32"/>
          <w:szCs w:val="32"/>
          <w:lang w:val="en-US" w:eastAsia="zh-CN"/>
        </w:rPr>
      </w:pPr>
      <w:r>
        <w:rPr>
          <w:rFonts w:hint="eastAsia" w:ascii="仿宋_GB2312" w:hAnsi="仿宋_GB2312" w:eastAsia="仿宋_GB2312" w:cs="仿宋_GB2312"/>
          <w:bCs/>
          <w:color w:val="000000"/>
          <w:kern w:val="2"/>
          <w:sz w:val="32"/>
          <w:szCs w:val="32"/>
          <w:lang w:val="en-US" w:eastAsia="zh-CN" w:bidi="ar-SA"/>
        </w:rPr>
        <w:t>该项目预算安排数为180万，实际按照任务书要求完成目标，预算执行进度符合预期，资金使用结构比例合理，不存在闲置浪费现象。</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rPr>
        <w:t>资金管理情况分析。</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textAlignment w:val="auto"/>
        <w:rPr>
          <w:rFonts w:hint="default" w:ascii="仿宋_GB2312" w:hAnsi="仿宋_GB2312" w:eastAsia="仿宋_GB2312" w:cs="仿宋_GB2312"/>
          <w:bCs/>
          <w:color w:val="000000"/>
          <w:sz w:val="32"/>
          <w:szCs w:val="32"/>
          <w:lang w:val="en-US" w:eastAsia="zh-CN"/>
        </w:rPr>
      </w:pPr>
      <w:r>
        <w:rPr>
          <w:rFonts w:hint="eastAsia" w:ascii="仿宋_GB2312" w:hAnsi="仿宋_GB2312" w:eastAsia="仿宋_GB2312" w:cs="仿宋_GB2312"/>
          <w:bCs/>
          <w:color w:val="000000"/>
          <w:sz w:val="32"/>
          <w:szCs w:val="32"/>
          <w:lang w:val="en-US" w:eastAsia="zh-CN"/>
        </w:rPr>
        <w:t xml:space="preserve">    </w:t>
      </w:r>
      <w:r>
        <w:rPr>
          <w:rFonts w:hint="eastAsia" w:ascii="仿宋_GB2312" w:hAnsi="仿宋_GB2312" w:eastAsia="仿宋_GB2312" w:cs="仿宋_GB2312"/>
          <w:bCs/>
          <w:color w:val="000000"/>
          <w:kern w:val="2"/>
          <w:sz w:val="32"/>
          <w:szCs w:val="32"/>
          <w:lang w:val="en-US" w:eastAsia="zh-CN" w:bidi="ar-SA"/>
        </w:rPr>
        <w:t>预算执行数179.9万元，资金使用结构中节目制作费174.94万元，其它支出4.96万元。资金完全按照预算资金的规定用途执行，无违法违规使用问题。</w:t>
      </w:r>
    </w:p>
    <w:p>
      <w:pPr>
        <w:keepNext w:val="0"/>
        <w:keepLines w:val="0"/>
        <w:pageBreakBefore w:val="0"/>
        <w:widowControl w:val="0"/>
        <w:numPr>
          <w:ilvl w:val="0"/>
          <w:numId w:val="3"/>
        </w:numPr>
        <w:kinsoku/>
        <w:wordWrap/>
        <w:overflowPunct/>
        <w:topLinePunct w:val="0"/>
        <w:autoSpaceDE/>
        <w:autoSpaceDN/>
        <w:bidi w:val="0"/>
        <w:adjustRightInd/>
        <w:snapToGrid/>
        <w:spacing w:line="520" w:lineRule="exact"/>
        <w:ind w:firstLine="640" w:firstLineChars="200"/>
        <w:textAlignment w:val="auto"/>
        <w:rPr>
          <w:rFonts w:hint="eastAsia" w:ascii="楷体" w:hAnsi="楷体" w:eastAsia="楷体" w:cs="楷体"/>
          <w:bCs/>
          <w:color w:val="000000"/>
          <w:sz w:val="32"/>
          <w:szCs w:val="32"/>
        </w:rPr>
      </w:pPr>
      <w:r>
        <w:rPr>
          <w:rFonts w:hint="eastAsia" w:ascii="楷体" w:hAnsi="楷体" w:eastAsia="楷体" w:cs="楷体"/>
          <w:bCs/>
          <w:color w:val="000000"/>
          <w:sz w:val="32"/>
          <w:szCs w:val="32"/>
        </w:rPr>
        <w:t>总体绩效目标完成情况分析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bCs/>
          <w:color w:val="000000"/>
          <w:kern w:val="2"/>
          <w:sz w:val="32"/>
          <w:szCs w:val="32"/>
          <w:lang w:val="en-US" w:eastAsia="zh-CN" w:bidi="ar-SA"/>
        </w:rPr>
      </w:pPr>
      <w:r>
        <w:rPr>
          <w:rFonts w:hint="eastAsia" w:ascii="楷体" w:hAnsi="楷体" w:eastAsia="楷体" w:cs="楷体"/>
          <w:bCs/>
          <w:color w:val="000000"/>
          <w:sz w:val="32"/>
          <w:szCs w:val="32"/>
          <w:lang w:val="en-US" w:eastAsia="zh-CN"/>
        </w:rPr>
        <w:t xml:space="preserve">   </w:t>
      </w:r>
      <w:r>
        <w:rPr>
          <w:rFonts w:hint="eastAsia" w:ascii="仿宋_GB2312" w:hAnsi="仿宋_GB2312" w:eastAsia="仿宋_GB2312" w:cs="仿宋_GB2312"/>
          <w:bCs/>
          <w:color w:val="000000"/>
          <w:kern w:val="2"/>
          <w:sz w:val="32"/>
          <w:szCs w:val="32"/>
          <w:lang w:val="en-US" w:eastAsia="zh-CN" w:bidi="ar-SA"/>
        </w:rPr>
        <w:t xml:space="preserve">  按照项目制定的年度目标要求，该项目从2019年2月正式启动，于2019年12月完成全年36期的播出目标，每期25分钟，实现21:30于青岛电视台新闻综合频道，青岛综合广播FM107.6和蓝睛客户端同步播出的目标要求。</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Cs/>
          <w:color w:val="000000"/>
          <w:kern w:val="2"/>
          <w:sz w:val="32"/>
          <w:szCs w:val="32"/>
          <w:lang w:val="en-US" w:eastAsia="zh-CN" w:bidi="ar-SA"/>
        </w:rPr>
      </w:pPr>
      <w:r>
        <w:rPr>
          <w:rFonts w:hint="eastAsia" w:ascii="仿宋_GB2312" w:hAnsi="仿宋_GB2312" w:eastAsia="仿宋_GB2312" w:cs="仿宋_GB2312"/>
          <w:bCs/>
          <w:color w:val="000000"/>
          <w:kern w:val="2"/>
          <w:sz w:val="32"/>
          <w:szCs w:val="32"/>
          <w:lang w:val="en-US" w:eastAsia="zh-CN" w:bidi="ar-SA"/>
        </w:rPr>
        <w:t>节目启用高清演播室，使用信息汇聚系统、大屏呈现系统、虚拟前景植入系统，全方位、立体化、网络化地呈现多方观点。采取线上线下互动，由蓝睛客户端提供网络技术支持。全年目标完成后，得到市委宣传部主要领导的高度评价，认为《市民圆桌会》节目的创新探索实践，真正实现了搭建市民和管理部门的沟通平台，提供发表观点的渠道，进一步加强舆论监督，曝光不文明现象，大力倡导社会文明风尚，协调执法部门加大执法力度，从而推动城市文明建设这样一个目标的要求。特别是配合文明城市创建等主题精心策划的选题，对提高市民文明意识起到正面舆论引导的作用。</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textAlignment w:val="auto"/>
        <w:rPr>
          <w:rFonts w:hint="default" w:ascii="仿宋_GB2312" w:hAnsi="仿宋_GB2312" w:eastAsia="仿宋_GB2312" w:cs="仿宋_GB2312"/>
          <w:bCs/>
          <w:color w:val="000000"/>
          <w:kern w:val="2"/>
          <w:sz w:val="32"/>
          <w:szCs w:val="32"/>
          <w:lang w:val="en-US" w:eastAsia="zh-CN" w:bidi="ar-SA"/>
        </w:rPr>
      </w:pPr>
      <w:r>
        <w:rPr>
          <w:rFonts w:hint="eastAsia" w:ascii="仿宋_GB2312" w:hAnsi="仿宋_GB2312" w:eastAsia="仿宋_GB2312" w:cs="仿宋_GB2312"/>
          <w:bCs/>
          <w:color w:val="000000"/>
          <w:kern w:val="2"/>
          <w:sz w:val="32"/>
          <w:szCs w:val="32"/>
          <w:lang w:val="en-US" w:eastAsia="zh-CN" w:bidi="ar-SA"/>
        </w:rPr>
        <w:t xml:space="preserve">    作为一档全媒体访谈节目，通过全年36期持续不间断的主题聚焦，覆盖广播、电视、网络的多平台传播，圆桌对话多方观点交锋的形态，特别是市民代表及文明志愿团队代表的参与，使节目更加接地气聚人气。所有节目的选题都是以身边的文明作为切入，在关注不文明现象的同时，更注重剖析其产生的内在原因，通过善意的引导推动市民形成文明自觉。正是抱持这样一种制作理念，因此，《市民圆桌会》才能形成独特的节目特色，得到社会公众的广泛认可。在节目的制作过程中，多个市有关部门主动联系要求参与节目的话题讨论，通过宣传片在青岛市广播电视台主要新闻节目中的宣传预热及视频内容播出后在蓝睛客户端、青岛文明网上的点击情况来看，以蓝睛客户端的统计举例说明，全部节目的点击量接近200万人次，并呈现不断上涨的态势。因此，综合来看，《市民圆桌会》按期实现了当初制定的宣传目标的要求，在市委宣传部及市文明办的指导下，《市民圆桌会》紧扣定位，努力实现了文明监督舆论引导的品牌节目创建工作。</w:t>
      </w:r>
    </w:p>
    <w:p>
      <w:pPr>
        <w:keepNext w:val="0"/>
        <w:keepLines w:val="0"/>
        <w:pageBreakBefore w:val="0"/>
        <w:widowControl w:val="0"/>
        <w:numPr>
          <w:ilvl w:val="0"/>
          <w:numId w:val="3"/>
        </w:numPr>
        <w:kinsoku/>
        <w:wordWrap/>
        <w:overflowPunct/>
        <w:topLinePunct w:val="0"/>
        <w:autoSpaceDE/>
        <w:autoSpaceDN/>
        <w:bidi w:val="0"/>
        <w:adjustRightInd/>
        <w:snapToGrid/>
        <w:spacing w:line="520" w:lineRule="exact"/>
        <w:ind w:left="0" w:leftChars="0" w:firstLine="640" w:firstLineChars="200"/>
        <w:textAlignment w:val="auto"/>
        <w:rPr>
          <w:rFonts w:hint="eastAsia" w:ascii="仿宋_GB2312" w:hAnsi="仿宋_GB2312" w:eastAsia="仿宋_GB2312" w:cs="仿宋_GB2312"/>
          <w:bCs/>
          <w:color w:val="000000"/>
          <w:sz w:val="32"/>
          <w:szCs w:val="32"/>
        </w:rPr>
      </w:pPr>
      <w:r>
        <w:rPr>
          <w:rFonts w:hint="eastAsia" w:ascii="楷体" w:hAnsi="楷体" w:eastAsia="楷体" w:cs="楷体"/>
          <w:bCs/>
          <w:color w:val="000000"/>
          <w:sz w:val="32"/>
          <w:szCs w:val="32"/>
          <w:lang w:eastAsia="zh-CN"/>
        </w:rPr>
        <w:t>具体</w:t>
      </w:r>
      <w:r>
        <w:rPr>
          <w:rFonts w:hint="eastAsia" w:ascii="楷体" w:hAnsi="楷体" w:eastAsia="楷体" w:cs="楷体"/>
          <w:bCs/>
          <w:color w:val="000000"/>
          <w:sz w:val="32"/>
          <w:szCs w:val="32"/>
        </w:rPr>
        <w:t>绩效指标完成情况分析。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200" w:firstLine="320" w:firstLineChars="100"/>
        <w:textAlignment w:val="auto"/>
        <w:rPr>
          <w:rFonts w:hint="eastAsia"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rPr>
        <w:t>1.产出指标完成情况分析。</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rPr>
        <w:t>（1）数量指标。</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Cs/>
          <w:color w:val="000000"/>
          <w:kern w:val="2"/>
          <w:sz w:val="32"/>
          <w:szCs w:val="32"/>
          <w:lang w:val="en-US" w:eastAsia="zh-CN" w:bidi="ar-SA"/>
        </w:rPr>
      </w:pPr>
      <w:r>
        <w:rPr>
          <w:rFonts w:hint="eastAsia" w:ascii="仿宋_GB2312" w:hAnsi="仿宋_GB2312" w:eastAsia="仿宋_GB2312" w:cs="仿宋_GB2312"/>
          <w:bCs/>
          <w:color w:val="000000"/>
          <w:sz w:val="32"/>
          <w:szCs w:val="32"/>
          <w:lang w:eastAsia="zh-CN"/>
        </w:rPr>
        <w:t>按照年度绩效指标要求，该项目自</w:t>
      </w:r>
      <w:r>
        <w:rPr>
          <w:rFonts w:hint="eastAsia" w:ascii="仿宋_GB2312" w:hAnsi="仿宋_GB2312" w:eastAsia="仿宋_GB2312" w:cs="仿宋_GB2312"/>
          <w:bCs/>
          <w:color w:val="000000"/>
          <w:sz w:val="32"/>
          <w:szCs w:val="32"/>
          <w:lang w:val="en-US" w:eastAsia="zh-CN"/>
        </w:rPr>
        <w:t>2019年2月启动至2019年12月，共计播出36期，每期25分钟，</w:t>
      </w:r>
      <w:r>
        <w:rPr>
          <w:rFonts w:hint="eastAsia" w:ascii="仿宋_GB2312" w:hAnsi="仿宋_GB2312" w:eastAsia="仿宋_GB2312" w:cs="仿宋_GB2312"/>
          <w:bCs/>
          <w:color w:val="000000"/>
          <w:kern w:val="2"/>
          <w:sz w:val="32"/>
          <w:szCs w:val="32"/>
          <w:lang w:val="en-US" w:eastAsia="zh-CN" w:bidi="ar-SA"/>
        </w:rPr>
        <w:t>实现21:30于青岛电视台新闻综合频道，青岛综合广播FM107.6和蓝睛客户端同步播出的目标要求。</w:t>
      </w:r>
    </w:p>
    <w:p>
      <w:pPr>
        <w:keepNext w:val="0"/>
        <w:keepLines w:val="0"/>
        <w:pageBreakBefore w:val="0"/>
        <w:widowControl w:val="0"/>
        <w:numPr>
          <w:ilvl w:val="0"/>
          <w:numId w:val="4"/>
        </w:numPr>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rPr>
        <w:t>质量指标。</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default" w:ascii="仿宋_GB2312" w:hAnsi="仿宋_GB2312" w:eastAsia="仿宋_GB2312" w:cs="仿宋_GB2312"/>
          <w:bCs/>
          <w:color w:val="000000"/>
          <w:sz w:val="32"/>
          <w:szCs w:val="32"/>
          <w:lang w:val="en-US" w:eastAsia="zh-CN"/>
        </w:rPr>
      </w:pPr>
      <w:r>
        <w:rPr>
          <w:rFonts w:hint="eastAsia" w:ascii="仿宋_GB2312" w:hAnsi="仿宋_GB2312" w:eastAsia="仿宋_GB2312" w:cs="仿宋_GB2312"/>
          <w:bCs/>
          <w:color w:val="000000"/>
          <w:kern w:val="2"/>
          <w:sz w:val="32"/>
          <w:szCs w:val="32"/>
          <w:lang w:val="en-US" w:eastAsia="zh-CN" w:bidi="ar-SA"/>
        </w:rPr>
        <w:t>节目启用高清演播室，使用信息汇聚系统、大屏呈现系统、虚拟前景植入系统，全方位、立体化、网络化地呈现多方观点。采取线上线下互动，由蓝睛客户端提供网络技术支持。</w:t>
      </w:r>
    </w:p>
    <w:p>
      <w:pPr>
        <w:keepNext w:val="0"/>
        <w:keepLines w:val="0"/>
        <w:pageBreakBefore w:val="0"/>
        <w:widowControl w:val="0"/>
        <w:numPr>
          <w:ilvl w:val="0"/>
          <w:numId w:val="4"/>
        </w:numPr>
        <w:kinsoku/>
        <w:wordWrap/>
        <w:overflowPunct/>
        <w:topLinePunct w:val="0"/>
        <w:autoSpaceDE/>
        <w:autoSpaceDN/>
        <w:bidi w:val="0"/>
        <w:adjustRightInd/>
        <w:snapToGrid/>
        <w:spacing w:line="520" w:lineRule="exact"/>
        <w:ind w:left="0" w:leftChars="0" w:firstLine="640" w:firstLineChars="200"/>
        <w:textAlignment w:val="auto"/>
        <w:rPr>
          <w:rFonts w:hint="eastAsia"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rPr>
        <w:t>时效指标。</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default" w:ascii="仿宋_GB2312" w:hAnsi="仿宋_GB2312" w:eastAsia="仿宋_GB2312" w:cs="仿宋_GB2312"/>
          <w:bCs/>
          <w:color w:val="000000"/>
          <w:sz w:val="32"/>
          <w:szCs w:val="32"/>
          <w:lang w:val="en-US" w:eastAsia="zh-CN"/>
        </w:rPr>
      </w:pPr>
      <w:r>
        <w:rPr>
          <w:rFonts w:hint="eastAsia" w:ascii="仿宋_GB2312" w:hAnsi="仿宋_GB2312" w:eastAsia="仿宋_GB2312" w:cs="仿宋_GB2312"/>
          <w:bCs/>
          <w:color w:val="000000"/>
          <w:sz w:val="32"/>
          <w:szCs w:val="32"/>
          <w:lang w:val="en-US" w:eastAsia="zh-CN"/>
        </w:rPr>
        <w:t xml:space="preserve">配合文明城市建设主题，精心策划主题，根据时效要求，推出相关主题，如围绕清明节推出文明祭扫主题，旅游季推出文明赏花、文明旅游，围绕公共场所控烟、文明养犬、光盘行动、高空不文明抛物、交通文明等推出主题节目，平均每月播出2-4期节目，形成持续不间断的文明监督和舆论引导。 </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200"/>
        <w:jc w:val="left"/>
        <w:textAlignment w:val="auto"/>
        <w:rPr>
          <w:rFonts w:hint="eastAsia"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lang w:val="en-US" w:eastAsia="zh-CN"/>
        </w:rPr>
        <w:t>2.</w:t>
      </w:r>
      <w:r>
        <w:rPr>
          <w:rFonts w:hint="eastAsia" w:ascii="仿宋_GB2312" w:hAnsi="仿宋_GB2312" w:eastAsia="仿宋_GB2312" w:cs="仿宋_GB2312"/>
          <w:bCs/>
          <w:color w:val="000000"/>
          <w:sz w:val="32"/>
          <w:szCs w:val="32"/>
        </w:rPr>
        <w:t xml:space="preserve">效益指标完成情况分析。                                                                                                </w:t>
      </w:r>
    </w:p>
    <w:p>
      <w:pPr>
        <w:keepNext w:val="0"/>
        <w:keepLines w:val="0"/>
        <w:pageBreakBefore w:val="0"/>
        <w:widowControl w:val="0"/>
        <w:numPr>
          <w:ilvl w:val="0"/>
          <w:numId w:val="5"/>
        </w:numPr>
        <w:kinsoku/>
        <w:wordWrap/>
        <w:overflowPunct/>
        <w:topLinePunct w:val="0"/>
        <w:autoSpaceDE/>
        <w:autoSpaceDN/>
        <w:bidi w:val="0"/>
        <w:adjustRightInd/>
        <w:snapToGrid/>
        <w:spacing w:line="520" w:lineRule="exact"/>
        <w:ind w:left="638" w:leftChars="304"/>
        <w:jc w:val="left"/>
        <w:textAlignment w:val="auto"/>
        <w:rPr>
          <w:rFonts w:hint="eastAsia"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lang w:eastAsia="zh-CN"/>
        </w:rPr>
        <w:t>社会</w:t>
      </w:r>
      <w:r>
        <w:rPr>
          <w:rFonts w:hint="eastAsia" w:ascii="仿宋_GB2312" w:hAnsi="仿宋_GB2312" w:eastAsia="仿宋_GB2312" w:cs="仿宋_GB2312"/>
          <w:bCs/>
          <w:color w:val="000000"/>
          <w:sz w:val="32"/>
          <w:szCs w:val="32"/>
        </w:rPr>
        <w:t>效益。</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default" w:ascii="仿宋_GB2312" w:hAnsi="仿宋_GB2312" w:eastAsia="仿宋_GB2312" w:cs="仿宋_GB2312"/>
          <w:bCs/>
          <w:color w:val="000000"/>
          <w:kern w:val="2"/>
          <w:sz w:val="32"/>
          <w:szCs w:val="32"/>
          <w:lang w:val="en-US" w:eastAsia="zh-CN" w:bidi="ar-SA"/>
        </w:rPr>
      </w:pPr>
      <w:r>
        <w:rPr>
          <w:rFonts w:hint="eastAsia" w:ascii="仿宋_GB2312" w:hAnsi="仿宋_GB2312" w:eastAsia="仿宋_GB2312" w:cs="仿宋_GB2312"/>
          <w:bCs/>
          <w:color w:val="000000"/>
          <w:kern w:val="2"/>
          <w:sz w:val="32"/>
          <w:szCs w:val="32"/>
          <w:lang w:val="en-US" w:eastAsia="zh-CN" w:bidi="ar-SA"/>
        </w:rPr>
        <w:t>全年目标完成后，得到市委宣传部主要领导的高度评价，《市民圆桌会》节目的创新探索实践，真正实现了搭建市民和管理部门的沟通平台，提供发表观点的渠道，进一步加强舆论监督，曝光不文明现象，大力倡导社会文明风尚，协调执法部门加大执法力度，从而推动城市文明建设这样一个目标的要求。特别是配合文明城市创建等主题精心策划的选题，对提高市民文明意识起到正面舆论引导的作用。</w:t>
      </w:r>
      <w:bookmarkStart w:id="0" w:name="_GoBack"/>
      <w:bookmarkEnd w:id="0"/>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textAlignment w:val="auto"/>
        <w:rPr>
          <w:rFonts w:hint="eastAsia"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rPr>
        <w:t>满意度指标完成情况分析。</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黑体" w:eastAsia="黑体"/>
          <w:bCs/>
          <w:color w:val="000000"/>
          <w:sz w:val="32"/>
          <w:szCs w:val="32"/>
        </w:rPr>
      </w:pPr>
      <w:r>
        <w:rPr>
          <w:rFonts w:hint="eastAsia" w:ascii="仿宋_GB2312" w:hAnsi="仿宋_GB2312" w:eastAsia="仿宋_GB2312" w:cs="仿宋_GB2312"/>
          <w:bCs/>
          <w:color w:val="000000"/>
          <w:kern w:val="2"/>
          <w:sz w:val="32"/>
          <w:szCs w:val="32"/>
          <w:lang w:val="en-US" w:eastAsia="zh-CN" w:bidi="ar-SA"/>
        </w:rPr>
        <w:t>《市民圆桌会》以身边的文明作为切入，在关注不文明现象的同时，更注重剖析其产生的内在原因，通过善意的引导推动市民形成文明自觉。在节目的制作过程中，多个市有关部门主动联系要求参与节目的话题讨论，通过宣传片在青岛市广播电视台主要新闻节目中的宣传预热及视频内容播出后在蓝睛客户端、青岛文明网上的点击情况来看，以蓝睛客户端的统计举例说明，全部节目的点击量接近200万人次，并呈现不断上涨的态势。</w:t>
      </w:r>
    </w:p>
    <w:p>
      <w:pPr>
        <w:keepNext w:val="0"/>
        <w:keepLines w:val="0"/>
        <w:pageBreakBefore w:val="0"/>
        <w:widowControl w:val="0"/>
        <w:numPr>
          <w:numId w:val="0"/>
        </w:numPr>
        <w:kinsoku/>
        <w:wordWrap/>
        <w:overflowPunct/>
        <w:topLinePunct w:val="0"/>
        <w:autoSpaceDE/>
        <w:autoSpaceDN/>
        <w:bidi w:val="0"/>
        <w:adjustRightInd/>
        <w:snapToGrid/>
        <w:spacing w:line="520" w:lineRule="exact"/>
        <w:ind w:firstLine="640" w:firstLineChars="200"/>
        <w:textAlignment w:val="auto"/>
        <w:rPr>
          <w:rFonts w:hint="eastAsia" w:ascii="黑体" w:eastAsia="黑体"/>
          <w:bCs/>
          <w:color w:val="000000"/>
          <w:sz w:val="32"/>
          <w:szCs w:val="32"/>
        </w:rPr>
      </w:pPr>
      <w:r>
        <w:rPr>
          <w:rFonts w:hint="eastAsia" w:ascii="黑体" w:eastAsia="黑体"/>
          <w:bCs/>
          <w:color w:val="000000"/>
          <w:sz w:val="32"/>
          <w:szCs w:val="32"/>
          <w:lang w:eastAsia="zh-CN"/>
        </w:rPr>
        <w:t>三、</w:t>
      </w:r>
      <w:r>
        <w:rPr>
          <w:rFonts w:hint="eastAsia" w:ascii="黑体" w:eastAsia="黑体"/>
          <w:bCs/>
          <w:color w:val="000000"/>
          <w:sz w:val="32"/>
          <w:szCs w:val="32"/>
        </w:rPr>
        <w:t>绩效自评结果拟应用和公开情况</w:t>
      </w:r>
    </w:p>
    <w:p>
      <w:pPr>
        <w:keepNext w:val="0"/>
        <w:keepLines w:val="0"/>
        <w:pageBreakBefore w:val="0"/>
        <w:widowControl w:val="0"/>
        <w:kinsoku/>
        <w:wordWrap/>
        <w:overflowPunct/>
        <w:topLinePunct w:val="0"/>
        <w:autoSpaceDE/>
        <w:autoSpaceDN/>
        <w:bidi w:val="0"/>
        <w:adjustRightInd/>
        <w:snapToGrid/>
        <w:spacing w:line="520" w:lineRule="exact"/>
        <w:ind w:firstLine="627" w:firstLineChars="196"/>
        <w:textAlignment w:val="auto"/>
        <w:rPr>
          <w:rFonts w:hint="eastAsia" w:ascii="仿宋_GB2312" w:hAnsi="仿宋_GB2312" w:eastAsia="仿宋_GB2312" w:cs="仿宋_GB2312"/>
          <w:bCs/>
          <w:color w:val="000000"/>
          <w:kern w:val="2"/>
          <w:sz w:val="32"/>
          <w:szCs w:val="32"/>
          <w:lang w:val="en-US" w:eastAsia="zh-CN" w:bidi="ar-SA"/>
        </w:rPr>
      </w:pPr>
      <w:r>
        <w:rPr>
          <w:rFonts w:hint="eastAsia" w:ascii="仿宋_GB2312" w:hAnsi="仿宋_GB2312" w:eastAsia="仿宋_GB2312" w:cs="仿宋_GB2312"/>
          <w:bCs/>
          <w:color w:val="000000"/>
          <w:kern w:val="2"/>
          <w:sz w:val="32"/>
          <w:szCs w:val="32"/>
          <w:lang w:val="en-US" w:eastAsia="zh-CN" w:bidi="ar-SA"/>
        </w:rPr>
        <w:t xml:space="preserve"> 绩效自评结果后续将通过青岛政务网予以公开。</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黑体" w:eastAsia="黑体"/>
          <w:bCs/>
          <w:color w:val="000000"/>
          <w:sz w:val="32"/>
          <w:szCs w:val="32"/>
        </w:rPr>
      </w:pPr>
      <w:r>
        <w:rPr>
          <w:rFonts w:hint="eastAsia" w:ascii="黑体" w:eastAsia="黑体"/>
          <w:bCs/>
          <w:color w:val="000000"/>
          <w:sz w:val="32"/>
          <w:szCs w:val="32"/>
          <w:lang w:eastAsia="zh-CN"/>
        </w:rPr>
        <w:t>四、</w:t>
      </w:r>
      <w:r>
        <w:rPr>
          <w:rFonts w:hint="eastAsia" w:ascii="黑体" w:eastAsia="黑体"/>
          <w:bCs/>
          <w:color w:val="000000"/>
          <w:sz w:val="32"/>
          <w:szCs w:val="32"/>
        </w:rPr>
        <w:t>其他需要说明的问题</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Cs/>
          <w:color w:val="000000"/>
          <w:sz w:val="32"/>
          <w:szCs w:val="32"/>
          <w:lang w:val="en-US" w:eastAsia="zh-CN"/>
        </w:rPr>
      </w:pPr>
      <w:r>
        <w:rPr>
          <w:rFonts w:hint="eastAsia" w:ascii="仿宋_GB2312" w:hAnsi="仿宋_GB2312" w:eastAsia="仿宋_GB2312" w:cs="仿宋_GB2312"/>
          <w:bCs/>
          <w:color w:val="000000"/>
          <w:sz w:val="32"/>
          <w:szCs w:val="32"/>
          <w:lang w:val="en-US" w:eastAsia="zh-CN"/>
        </w:rPr>
        <w:t>该项目申报审核机制健全，符合实际需要，具体承担的执行部门从人力物力和技术支持方面保障了项目的落地实施。巡视、审计和财政监督中未发现任何违规问题。</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_GB2312"/>
          <w:b/>
          <w:bCs/>
          <w:sz w:val="44"/>
          <w:szCs w:val="44"/>
        </w:rPr>
      </w:pPr>
    </w:p>
    <w:p>
      <w:pPr>
        <w:keepNext w:val="0"/>
        <w:keepLines w:val="0"/>
        <w:pageBreakBefore w:val="0"/>
        <w:widowControl w:val="0"/>
        <w:kinsoku/>
        <w:wordWrap/>
        <w:overflowPunct/>
        <w:topLinePunct w:val="0"/>
        <w:autoSpaceDE/>
        <w:autoSpaceDN/>
        <w:bidi w:val="0"/>
        <w:adjustRightInd/>
        <w:snapToGrid/>
        <w:spacing w:line="520" w:lineRule="exact"/>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94B1AD1"/>
    <w:multiLevelType w:val="singleLevel"/>
    <w:tmpl w:val="994B1AD1"/>
    <w:lvl w:ilvl="0" w:tentative="0">
      <w:start w:val="2"/>
      <w:numFmt w:val="decimal"/>
      <w:lvlText w:val="%1."/>
      <w:lvlJc w:val="left"/>
      <w:pPr>
        <w:tabs>
          <w:tab w:val="left" w:pos="312"/>
        </w:tabs>
      </w:pPr>
    </w:lvl>
  </w:abstractNum>
  <w:abstractNum w:abstractNumId="1">
    <w:nsid w:val="CD529050"/>
    <w:multiLevelType w:val="singleLevel"/>
    <w:tmpl w:val="CD529050"/>
    <w:lvl w:ilvl="0" w:tentative="0">
      <w:start w:val="2"/>
      <w:numFmt w:val="chineseCounting"/>
      <w:suff w:val="nothing"/>
      <w:lvlText w:val="（%1）"/>
      <w:lvlJc w:val="left"/>
      <w:rPr>
        <w:rFonts w:hint="eastAsia"/>
      </w:rPr>
    </w:lvl>
  </w:abstractNum>
  <w:abstractNum w:abstractNumId="2">
    <w:nsid w:val="F0487793"/>
    <w:multiLevelType w:val="singleLevel"/>
    <w:tmpl w:val="F0487793"/>
    <w:lvl w:ilvl="0" w:tentative="0">
      <w:start w:val="1"/>
      <w:numFmt w:val="chineseCounting"/>
      <w:suff w:val="nothing"/>
      <w:lvlText w:val="%1、"/>
      <w:lvlJc w:val="left"/>
      <w:rPr>
        <w:rFonts w:hint="eastAsia"/>
      </w:rPr>
    </w:lvl>
  </w:abstractNum>
  <w:abstractNum w:abstractNumId="3">
    <w:nsid w:val="3D621D2D"/>
    <w:multiLevelType w:val="singleLevel"/>
    <w:tmpl w:val="3D621D2D"/>
    <w:lvl w:ilvl="0" w:tentative="0">
      <w:start w:val="1"/>
      <w:numFmt w:val="decimal"/>
      <w:suff w:val="nothing"/>
      <w:lvlText w:val="（%1）"/>
      <w:lvlJc w:val="left"/>
    </w:lvl>
  </w:abstractNum>
  <w:abstractNum w:abstractNumId="4">
    <w:nsid w:val="5661EFB2"/>
    <w:multiLevelType w:val="singleLevel"/>
    <w:tmpl w:val="5661EFB2"/>
    <w:lvl w:ilvl="0" w:tentative="0">
      <w:start w:val="2"/>
      <w:numFmt w:val="decimal"/>
      <w:suff w:val="nothing"/>
      <w:lvlText w:val="（%1）"/>
      <w:lvlJc w:val="left"/>
    </w:lvl>
  </w:abstractNum>
  <w:num w:numId="1">
    <w:abstractNumId w:val="2"/>
  </w:num>
  <w:num w:numId="2">
    <w:abstractNumId w:val="0"/>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483BC5"/>
    <w:rsid w:val="14FF4C46"/>
    <w:rsid w:val="19175A3E"/>
    <w:rsid w:val="24483BC5"/>
    <w:rsid w:val="698A051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character" w:styleId="5">
    <w:name w:val="page number"/>
    <w:basedOn w:val="4"/>
    <w:uiPriority w:val="0"/>
  </w:style>
  <w:style w:type="paragraph"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53</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2020-04-23T00:48:00Z</dcterms:created>
  <dc:creator>范晓莉</dc:creator>
  <cp:lastModifiedBy>范晓莉</cp:lastModifiedBy>
  <dcterms:modified xsi:type="dcterms:W3CDTF">2020-04-23T07:16:53Z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